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91" w:rsidRDefault="00D07991" w:rsidP="00D07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ΥΠΟΥΡΓΕΙΟ ΠΟΛΙΤΙΣΜΟΥ ΚΑΙ ΑΘΛΗΤΙΣΜΟΥ</w:t>
      </w:r>
    </w:p>
    <w:p w:rsidR="00D07991" w:rsidRDefault="00D07991" w:rsidP="00D07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ΓΕΝΙΚΗ ΓΡΑΜΜΑΤΕΙΑ ΑΘΛΗΤΙΣΜΟΥ</w:t>
      </w:r>
    </w:p>
    <w:p w:rsidR="00D07991" w:rsidRDefault="00D07991" w:rsidP="00D079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ΓΡΑΦΕΙΟ ΤΥΠΟΥ</w:t>
      </w:r>
    </w:p>
    <w:p w:rsidR="00D07991" w:rsidRDefault="00D07991" w:rsidP="00D079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991" w:rsidRDefault="00D07991" w:rsidP="00D0799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Αθήνα, 7 Νοεμβρίου 2020</w:t>
      </w:r>
    </w:p>
    <w:p w:rsidR="00D07991" w:rsidRDefault="00D07991" w:rsidP="00ED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991" w:rsidRPr="00D07991" w:rsidRDefault="00D07991" w:rsidP="00ED412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7991">
        <w:rPr>
          <w:rFonts w:ascii="Times New Roman" w:hAnsi="Times New Roman" w:cs="Times New Roman"/>
          <w:b/>
          <w:bCs/>
          <w:sz w:val="28"/>
          <w:szCs w:val="28"/>
          <w:u w:val="single"/>
        </w:rPr>
        <w:t>ΔΕΛΤΙΟ ΤΥΠΟΥ</w:t>
      </w:r>
    </w:p>
    <w:p w:rsidR="00D07991" w:rsidRDefault="00D07991" w:rsidP="00ED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991" w:rsidRDefault="00D07991" w:rsidP="00ED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78" w:rsidRDefault="00533309" w:rsidP="00ED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Ό</w:t>
      </w:r>
      <w:r w:rsidR="008F5E27">
        <w:rPr>
          <w:rFonts w:ascii="Times New Roman" w:hAnsi="Times New Roman" w:cs="Times New Roman"/>
          <w:b/>
          <w:bCs/>
          <w:sz w:val="28"/>
          <w:szCs w:val="28"/>
        </w:rPr>
        <w:t>σα προβλέπονται για τον αθλητισμό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F5E27">
        <w:rPr>
          <w:rFonts w:ascii="Times New Roman" w:hAnsi="Times New Roman" w:cs="Times New Roman"/>
          <w:b/>
          <w:bCs/>
          <w:sz w:val="28"/>
          <w:szCs w:val="28"/>
        </w:rPr>
        <w:t xml:space="preserve"> όλο τον Νοέμβριο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F5E27">
        <w:rPr>
          <w:rFonts w:ascii="Times New Roman" w:hAnsi="Times New Roman" w:cs="Times New Roman"/>
          <w:b/>
          <w:bCs/>
          <w:sz w:val="28"/>
          <w:szCs w:val="28"/>
        </w:rPr>
        <w:t>στ</w:t>
      </w:r>
      <w:r w:rsidR="00DB196F" w:rsidRPr="00DB196F">
        <w:rPr>
          <w:rFonts w:ascii="Times New Roman" w:hAnsi="Times New Roman" w:cs="Times New Roman"/>
          <w:b/>
          <w:bCs/>
          <w:sz w:val="28"/>
          <w:szCs w:val="28"/>
        </w:rPr>
        <w:t>α νέα</w:t>
      </w:r>
      <w:r w:rsidR="00ED4124">
        <w:rPr>
          <w:rFonts w:ascii="Times New Roman" w:hAnsi="Times New Roman" w:cs="Times New Roman"/>
          <w:b/>
          <w:bCs/>
          <w:sz w:val="28"/>
          <w:szCs w:val="28"/>
        </w:rPr>
        <w:t xml:space="preserve"> έκτακτα</w:t>
      </w:r>
      <w:r w:rsidR="00DB196F" w:rsidRPr="00DB196F">
        <w:rPr>
          <w:rFonts w:ascii="Times New Roman" w:hAnsi="Times New Roman" w:cs="Times New Roman"/>
          <w:b/>
          <w:bCs/>
          <w:sz w:val="28"/>
          <w:szCs w:val="28"/>
        </w:rPr>
        <w:t xml:space="preserve"> μέτρα για την προστασία της δημόσιας υγείας</w:t>
      </w:r>
    </w:p>
    <w:p w:rsidR="008E2878" w:rsidRDefault="008E2878" w:rsidP="00991B9C">
      <w:pPr>
        <w:rPr>
          <w:rFonts w:ascii="Times New Roman" w:hAnsi="Times New Roman" w:cs="Times New Roman"/>
          <w:sz w:val="28"/>
          <w:szCs w:val="28"/>
        </w:rPr>
      </w:pPr>
    </w:p>
    <w:p w:rsidR="00ED4124" w:rsidRDefault="00ED4124" w:rsidP="0099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εξαιρέσεις στη γενική αναστολή λειτουργίας και χρήσης αθλητικών εγκαταστάσεων</w:t>
      </w:r>
      <w:r w:rsidR="00EA41AC" w:rsidRPr="00990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με τα νέα έκτακτα μέτρα ενάντια στην πανδημία, όπως θα εφαρμοστούν πανελλαδικά από σήμερα και για όλο τον Νοέμβριο, αναφέρονται στην Κοινή Υπουργική Απόφαση που υπέγραψε ο Υφυπουργός Πολιτισμού και Αθλητισμού, Λευτέρης Αυγενάκης.</w:t>
      </w:r>
    </w:p>
    <w:p w:rsidR="008E2878" w:rsidRDefault="008E2878" w:rsidP="00991B9C">
      <w:pPr>
        <w:rPr>
          <w:rFonts w:ascii="Times New Roman" w:hAnsi="Times New Roman" w:cs="Times New Roman"/>
          <w:sz w:val="28"/>
          <w:szCs w:val="28"/>
        </w:rPr>
      </w:pP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  <w:u w:val="single"/>
        </w:rPr>
        <w:t>Η</w:t>
      </w:r>
      <w:r w:rsidR="00991B9C" w:rsidRPr="00ED4124">
        <w:rPr>
          <w:rFonts w:ascii="Times New Roman" w:hAnsi="Times New Roman" w:cs="Times New Roman"/>
          <w:sz w:val="28"/>
          <w:szCs w:val="28"/>
          <w:u w:val="single"/>
        </w:rPr>
        <w:t xml:space="preserve"> Κοινή Απόφαση</w:t>
      </w:r>
      <w:r w:rsidRPr="00ED4124">
        <w:rPr>
          <w:rFonts w:ascii="Times New Roman" w:hAnsi="Times New Roman" w:cs="Times New Roman"/>
          <w:sz w:val="28"/>
          <w:szCs w:val="28"/>
        </w:rPr>
        <w:t>, λοιπόν,</w:t>
      </w:r>
      <w:r w:rsidR="00991B9C">
        <w:rPr>
          <w:rFonts w:ascii="Times New Roman" w:hAnsi="Times New Roman" w:cs="Times New Roman"/>
          <w:sz w:val="28"/>
          <w:szCs w:val="28"/>
        </w:rPr>
        <w:t xml:space="preserve"> των Υπουργείων Πολιτισμού και Αθλητισμού, Οικονομικών, Ανάπτυξης και Επενδύσεων, Προστασίας του Πολίτη, Εθνικής Άμυνας, </w:t>
      </w:r>
      <w:r w:rsidR="002F6994">
        <w:rPr>
          <w:rFonts w:ascii="Times New Roman" w:hAnsi="Times New Roman" w:cs="Times New Roman"/>
          <w:sz w:val="28"/>
          <w:szCs w:val="28"/>
        </w:rPr>
        <w:t>Π</w:t>
      </w:r>
      <w:r w:rsidR="00991B9C">
        <w:rPr>
          <w:rFonts w:ascii="Times New Roman" w:hAnsi="Times New Roman" w:cs="Times New Roman"/>
          <w:sz w:val="28"/>
          <w:szCs w:val="28"/>
        </w:rPr>
        <w:t>αιδείας και Θρησκευμάτων, Εργασίας και Κοινωνικών Υποθέσεων, Υγείας, Περιβάλλοντος και Ενέργειας, Δικαιοσύνης, Εσωτερικών</w:t>
      </w:r>
      <w:r w:rsidR="00D36ABF">
        <w:rPr>
          <w:rFonts w:ascii="Times New Roman" w:hAnsi="Times New Roman" w:cs="Times New Roman"/>
          <w:sz w:val="28"/>
          <w:szCs w:val="28"/>
        </w:rPr>
        <w:t>, Μετανάστευσης και Ασύλου, Υποδομών και Μεταφορών, Ναυτιλίας και Νησιωτικής Πολιτικής</w:t>
      </w:r>
      <w:r w:rsidR="008E2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με θέμα:</w:t>
      </w:r>
    </w:p>
    <w:p w:rsidR="00ED4124" w:rsidRDefault="008E2878" w:rsidP="00ED41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>«</w:t>
      </w:r>
      <w:r w:rsidR="00ED4124" w:rsidRPr="00ED4124">
        <w:rPr>
          <w:rFonts w:ascii="Times New Roman" w:hAnsi="Times New Roman" w:cs="Times New Roman"/>
          <w:i/>
          <w:iCs/>
          <w:sz w:val="28"/>
          <w:szCs w:val="28"/>
        </w:rPr>
        <w:t>Έκτακτα μέτρα προστασίας της δημόσιας υγείας από τον κίνδυνο περαιτέρω διασποράς του κορωνοϊού COVID-19 στο σύνολο της Επικράτειας για το διάστημα από το Σάββατο, 7 Νοεμβρίου 2020 έως και τη Δευτέρα, 30 Νοεμβρίου 2020</w:t>
      </w:r>
      <w:r w:rsidR="00CB5147" w:rsidRPr="00ED412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D4124" w:rsidRPr="00ED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B9C" w:rsidRP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b/>
          <w:bCs/>
          <w:sz w:val="28"/>
          <w:szCs w:val="28"/>
          <w:u w:val="single"/>
        </w:rPr>
        <w:t>προβλέπει τα εξής για τις αθλητικές δραστηριότητες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1B9C" w:rsidRDefault="00991B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  <w:u w:val="single"/>
        </w:rPr>
        <w:t xml:space="preserve">Αναστολή της λειτουργίας και χρήσης οργανωμένων αθλητικών εγκαταστάσεων, </w:t>
      </w:r>
      <w:r w:rsidRPr="00ED41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εξαιρουμένων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των ακόλουθων περιπτώσεων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</w:p>
    <w:p w:rsidR="0099042D" w:rsidRPr="0099042D" w:rsidRDefault="00ED4124" w:rsidP="0099042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 xml:space="preserve">Λειτουργία </w:t>
      </w:r>
      <w:r w:rsidRPr="0099042D">
        <w:rPr>
          <w:rFonts w:ascii="Times New Roman" w:hAnsi="Times New Roman" w:cs="Times New Roman"/>
          <w:sz w:val="28"/>
          <w:szCs w:val="28"/>
          <w:u w:val="single"/>
        </w:rPr>
        <w:t>ανοικτών</w:t>
      </w:r>
      <w:r w:rsidRPr="0099042D">
        <w:rPr>
          <w:rFonts w:ascii="Times New Roman" w:hAnsi="Times New Roman" w:cs="Times New Roman"/>
          <w:sz w:val="28"/>
          <w:szCs w:val="28"/>
        </w:rPr>
        <w:t xml:space="preserve"> αθλητικών εγκαταστάσεων, </w:t>
      </w:r>
      <w:r w:rsidR="0099042D" w:rsidRPr="0099042D">
        <w:rPr>
          <w:rFonts w:ascii="Times New Roman" w:hAnsi="Times New Roman" w:cs="Times New Roman"/>
          <w:b/>
          <w:bCs/>
          <w:sz w:val="28"/>
          <w:szCs w:val="28"/>
        </w:rPr>
        <w:t>χωρίς χρήση αποδυτηρίων</w:t>
      </w:r>
      <w:r w:rsidR="0099042D">
        <w:rPr>
          <w:rFonts w:ascii="Times New Roman" w:hAnsi="Times New Roman" w:cs="Times New Roman"/>
          <w:sz w:val="28"/>
          <w:szCs w:val="28"/>
        </w:rPr>
        <w:t xml:space="preserve">, </w:t>
      </w:r>
      <w:r w:rsidRPr="0099042D">
        <w:rPr>
          <w:rFonts w:ascii="Times New Roman" w:hAnsi="Times New Roman" w:cs="Times New Roman"/>
          <w:sz w:val="28"/>
          <w:szCs w:val="28"/>
        </w:rPr>
        <w:t xml:space="preserve">αποκλειστικά και </w:t>
      </w:r>
      <w:r w:rsidRPr="0099042D">
        <w:rPr>
          <w:rFonts w:ascii="Times New Roman" w:hAnsi="Times New Roman" w:cs="Times New Roman"/>
          <w:sz w:val="28"/>
          <w:szCs w:val="28"/>
          <w:u w:val="single"/>
        </w:rPr>
        <w:t>μόνο από ομάδες έως τριών (3) ατόμων</w:t>
      </w:r>
      <w:r w:rsidRPr="0099042D">
        <w:rPr>
          <w:rFonts w:ascii="Times New Roman" w:hAnsi="Times New Roman" w:cs="Times New Roman"/>
          <w:sz w:val="28"/>
          <w:szCs w:val="28"/>
        </w:rPr>
        <w:t>,</w:t>
      </w:r>
      <w:r w:rsidR="0099042D">
        <w:rPr>
          <w:rFonts w:ascii="Times New Roman" w:hAnsi="Times New Roman" w:cs="Times New Roman"/>
          <w:sz w:val="28"/>
          <w:szCs w:val="28"/>
        </w:rPr>
        <w:t xml:space="preserve"> </w:t>
      </w:r>
      <w:r w:rsidRPr="0099042D">
        <w:rPr>
          <w:rFonts w:ascii="Times New Roman" w:hAnsi="Times New Roman" w:cs="Times New Roman"/>
          <w:sz w:val="28"/>
          <w:szCs w:val="28"/>
        </w:rPr>
        <w:t xml:space="preserve">συμπεριλαμβανομένου του προπονητή και χωρίς την παρουσία θεατών, προς τον σκοπό άθλησης μέσω </w:t>
      </w:r>
      <w:r w:rsidR="0099042D" w:rsidRPr="0099042D">
        <w:rPr>
          <w:rFonts w:ascii="Times New Roman" w:hAnsi="Times New Roman" w:cs="Times New Roman"/>
          <w:sz w:val="28"/>
          <w:szCs w:val="28"/>
        </w:rPr>
        <w:t xml:space="preserve">των εξής </w:t>
      </w:r>
      <w:r w:rsidRPr="0099042D">
        <w:rPr>
          <w:rFonts w:ascii="Times New Roman" w:hAnsi="Times New Roman" w:cs="Times New Roman"/>
          <w:sz w:val="28"/>
          <w:szCs w:val="28"/>
        </w:rPr>
        <w:t>ατομικών αθλημάτων</w:t>
      </w:r>
      <w:r w:rsidR="0099042D" w:rsidRPr="009904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στίβος (έως 60 άτομα συνολικά εντός της ανοικτής αθλητικής εγκατάστασης)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κολύμβηση (αποκλειστικά σε ανοικτά κολυμβητήρια)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αντισφαίριση,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σκοποβολή,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lastRenderedPageBreak/>
        <w:t>τοξοβολία,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ιστιοπλοΐα,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 xml:space="preserve">κωπηλασία,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κανόε καγιάκ,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θαλάσσιο σκι,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ποδηλασία,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γκολφ,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ιππασία,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μηχανοκίνητος αθλητισμός,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2D" w:rsidRPr="0099042D" w:rsidRDefault="0099042D" w:rsidP="0099042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</w:rPr>
        <w:t>ορειβασία/αναρρίχηση,</w:t>
      </w:r>
    </w:p>
    <w:p w:rsidR="0099042D" w:rsidRPr="00ED4124" w:rsidRDefault="0099042D" w:rsidP="009904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99042D" w:rsidP="00ED41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Περαιτέρω λεπτομέρειες</w:t>
      </w:r>
      <w:r w:rsidR="00ED4124">
        <w:rPr>
          <w:rFonts w:ascii="Times New Roman" w:hAnsi="Times New Roman" w:cs="Times New Roman"/>
          <w:sz w:val="28"/>
          <w:szCs w:val="28"/>
        </w:rPr>
        <w:t xml:space="preserve"> θα αναρτηθ</w:t>
      </w:r>
      <w:r>
        <w:rPr>
          <w:rFonts w:ascii="Times New Roman" w:hAnsi="Times New Roman" w:cs="Times New Roman"/>
          <w:sz w:val="28"/>
          <w:szCs w:val="28"/>
        </w:rPr>
        <w:t>ούν</w:t>
      </w:r>
      <w:r w:rsidR="00ED4124">
        <w:rPr>
          <w:rFonts w:ascii="Times New Roman" w:hAnsi="Times New Roman" w:cs="Times New Roman"/>
          <w:sz w:val="28"/>
          <w:szCs w:val="28"/>
        </w:rPr>
        <w:t xml:space="preserve"> στην ιστοσελίδα της Γενικής Γραμματείας Αθλητισμού (</w:t>
      </w:r>
      <w:r w:rsidR="00ED4124" w:rsidRPr="00ED4124">
        <w:rPr>
          <w:rFonts w:ascii="Times New Roman" w:hAnsi="Times New Roman" w:cs="Times New Roman"/>
          <w:color w:val="0000FF"/>
          <w:sz w:val="28"/>
          <w:szCs w:val="28"/>
        </w:rPr>
        <w:t>https://gga.gov.gr/component/co ntent/article/278-covid/2981- covid19-sports</w:t>
      </w:r>
      <w:r w:rsidR="00ED4124">
        <w:rPr>
          <w:rFonts w:ascii="Times New Roman" w:hAnsi="Times New Roman" w:cs="Times New Roman"/>
          <w:color w:val="0000FF"/>
          <w:sz w:val="28"/>
          <w:szCs w:val="28"/>
        </w:rPr>
        <w:t>)</w:t>
      </w:r>
      <w:r w:rsidR="00ED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24" w:rsidRDefault="00ED4124" w:rsidP="00ED41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ED4124" w:rsidP="00ED41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 w:rsidRPr="00ED4124">
        <w:rPr>
          <w:rFonts w:ascii="Times New Roman" w:hAnsi="Times New Roman" w:cs="Times New Roman"/>
          <w:sz w:val="28"/>
          <w:szCs w:val="28"/>
        </w:rPr>
        <w:t xml:space="preserve">ειτουργία των αθλητικών εγκαταστάσεων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για προπονήσεις και αγώνες</w:t>
      </w:r>
      <w:r w:rsidRPr="00ED4124">
        <w:rPr>
          <w:rFonts w:ascii="Times New Roman" w:hAnsi="Times New Roman" w:cs="Times New Roman"/>
          <w:sz w:val="28"/>
          <w:szCs w:val="28"/>
        </w:rPr>
        <w:t xml:space="preserve"> χωρίς την παρουσία θεατών των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4">
        <w:rPr>
          <w:rFonts w:ascii="Times New Roman" w:hAnsi="Times New Roman" w:cs="Times New Roman"/>
          <w:sz w:val="28"/>
          <w:szCs w:val="28"/>
        </w:rPr>
        <w:t>ομάδων που μετέχουν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24" w:rsidRDefault="00ED4124" w:rsidP="00ED41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 xml:space="preserve">στο πρωτάθλημα ποδοσφαίρου της Α’ Εθνικής κατηγορίας ανδρών (Super </w:t>
      </w:r>
      <w:r w:rsidRPr="00ED41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4124">
        <w:rPr>
          <w:rFonts w:ascii="Times New Roman" w:hAnsi="Times New Roman" w:cs="Times New Roman"/>
          <w:sz w:val="28"/>
          <w:szCs w:val="28"/>
        </w:rPr>
        <w:t xml:space="preserve">eague), </w:t>
      </w:r>
    </w:p>
    <w:p w:rsidR="00ED4124" w:rsidRDefault="00ED4124" w:rsidP="00ED41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 xml:space="preserve">στο πρωτάθλημα καλαθοσφαίρισης (Basket </w:t>
      </w:r>
      <w:r w:rsidRPr="00ED412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4124">
        <w:rPr>
          <w:rFonts w:ascii="Times New Roman" w:hAnsi="Times New Roman" w:cs="Times New Roman"/>
          <w:sz w:val="28"/>
          <w:szCs w:val="28"/>
        </w:rPr>
        <w:t>eague),</w:t>
      </w:r>
    </w:p>
    <w:p w:rsidR="00ED4124" w:rsidRDefault="00ED4124" w:rsidP="00ED41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>στους ευρωπαϊκούς αγώνες (Champions League, Europa League, Euroleague, BCL, σύμφωνα με τα ειδικά πρωτόκολλα των UEFA, Euroleague, FIBA),</w:t>
      </w:r>
    </w:p>
    <w:p w:rsidR="00ED4124" w:rsidRDefault="00ED4124" w:rsidP="00ED41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>εθνικών ομάδων, ανδρών ή γυναικών, ομαδικών αθλημάτων που έχουν αγωνιστικές υποχρεώσεις στο συγκεκριμένο διάστημα.</w:t>
      </w:r>
    </w:p>
    <w:p w:rsidR="00ED4124" w:rsidRPr="00ED4124" w:rsidRDefault="00ED4124" w:rsidP="00ED412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>Σε κάθε περίπτωση, η εφαρμογή της παρούσας περίπτωσης είναι δυνατή μόνο εφόσον οι ομάδες ακολουθούν υγειονομικό πρωτόκολλο, που περιλαμβάνει υποχρεωτικό εβδομαδιαίο προληπτικό έλεγχο των αθλητών για COVID-19 με τεστ αντιγόνου, από διαπιστευμένα εργαστήρια.</w:t>
      </w:r>
    </w:p>
    <w:p w:rsidR="00ED4124" w:rsidRDefault="00ED4124" w:rsidP="00ED4124">
      <w:pPr>
        <w:ind w:left="1146"/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ED4124" w:rsidP="00ED41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</w:t>
      </w:r>
      <w:r w:rsidRPr="00ED4124">
        <w:rPr>
          <w:rFonts w:ascii="Times New Roman" w:hAnsi="Times New Roman" w:cs="Times New Roman"/>
          <w:sz w:val="28"/>
          <w:szCs w:val="28"/>
        </w:rPr>
        <w:t xml:space="preserve">ρήση των αθλητικών εγκαταστάσεων από όσους αναφέρονται σε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ονομαστικές καταστάσεις</w:t>
      </w:r>
      <w:r w:rsidRPr="00ED4124">
        <w:rPr>
          <w:rFonts w:ascii="Times New Roman" w:hAnsi="Times New Roman" w:cs="Times New Roman"/>
          <w:sz w:val="28"/>
          <w:szCs w:val="28"/>
        </w:rPr>
        <w:t xml:space="preserve"> που εκδίδει η Γενική Γραμματεία Αθλητισμού, κατόπιν εισήγησης της Ελληνικής Ολυμπιακής Επιτροπής και της Ελληνικής Παραολυμπιακής Επιτροπής, για την κάλυψη των αναγκών προετοιμασίας τους για τους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Ολυμπιακούς και Παραολυμπιακούς Αγώνες</w:t>
      </w:r>
      <w:r w:rsidRPr="00ED4124">
        <w:rPr>
          <w:rFonts w:ascii="Times New Roman" w:hAnsi="Times New Roman" w:cs="Times New Roman"/>
          <w:sz w:val="28"/>
          <w:szCs w:val="28"/>
        </w:rPr>
        <w:t xml:space="preserve"> του Τόκιο το 2021.</w:t>
      </w:r>
    </w:p>
    <w:p w:rsidR="00ED4124" w:rsidRDefault="00ED4124" w:rsidP="00ED41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9042D" w:rsidRPr="0099042D" w:rsidRDefault="00ED4124" w:rsidP="0099042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 xml:space="preserve">Περαιτέρω οδηγίες, υγειονομικά́ πρωτοκόλλα για προπονήσεις και αγώνες, όπως αναρτώνται στην </w:t>
      </w:r>
      <w:r w:rsidRPr="00ED4124">
        <w:rPr>
          <w:rFonts w:ascii="Times New Roman" w:hAnsi="Times New Roman" w:cs="Times New Roman"/>
          <w:sz w:val="28"/>
          <w:szCs w:val="28"/>
        </w:rPr>
        <w:lastRenderedPageBreak/>
        <w:t xml:space="preserve">ιστοσελίδα της Γενικής Γραμματείας Αθλητισμού́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4124">
        <w:rPr>
          <w:rFonts w:ascii="Times New Roman" w:hAnsi="Times New Roman" w:cs="Times New Roman"/>
          <w:color w:val="0000FF"/>
          <w:sz w:val="28"/>
          <w:szCs w:val="28"/>
        </w:rPr>
        <w:t>https://gga.gov.gr/component/content/article/278-covid/2981- covid19-sports</w:t>
      </w:r>
      <w:r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ED4124" w:rsidRP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</w:p>
    <w:p w:rsidR="00ED4124" w:rsidRDefault="00ED4124" w:rsidP="00ED41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 w:rsidRPr="00ED4124">
        <w:rPr>
          <w:rFonts w:ascii="Times New Roman" w:hAnsi="Times New Roman" w:cs="Times New Roman"/>
          <w:sz w:val="28"/>
          <w:szCs w:val="28"/>
        </w:rPr>
        <w:t xml:space="preserve">ειτουργία των αθλητικών εγκαταστάσεων για την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ολοκλήρωση διεθνών αθλητικών διοργανώσεων</w:t>
      </w:r>
      <w:r w:rsidRPr="00ED4124">
        <w:rPr>
          <w:rFonts w:ascii="Times New Roman" w:hAnsi="Times New Roman" w:cs="Times New Roman"/>
          <w:sz w:val="28"/>
          <w:szCs w:val="28"/>
        </w:rPr>
        <w:t xml:space="preserve"> που είναι σε εξέλιξη κατά τη δημοσίευση της παρούσας, τηρουμένων των υγειονομικών πρωτοκόλλων της Γενικής Γραμματείας Αθλητισμού.</w:t>
      </w:r>
    </w:p>
    <w:p w:rsidR="00ED4124" w:rsidRDefault="00ED4124" w:rsidP="00ED412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ED4124" w:rsidP="00ED41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 w:rsidRPr="00ED4124">
        <w:rPr>
          <w:rFonts w:ascii="Times New Roman" w:hAnsi="Times New Roman" w:cs="Times New Roman"/>
          <w:sz w:val="28"/>
          <w:szCs w:val="28"/>
        </w:rPr>
        <w:t xml:space="preserve">ειτουργία και χρήση των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κολυμβητηρίων για θεραπευτική άσκηση από άτομα με αναπηρίες</w:t>
      </w:r>
      <w:r w:rsidRPr="00ED4124">
        <w:rPr>
          <w:rFonts w:ascii="Times New Roman" w:hAnsi="Times New Roman" w:cs="Times New Roman"/>
          <w:sz w:val="28"/>
          <w:szCs w:val="28"/>
        </w:rPr>
        <w:t>, καθώς και από τους συνοδούς τους, εφόσον</w:t>
      </w:r>
    </w:p>
    <w:p w:rsidR="00ED4124" w:rsidRDefault="00ED4124" w:rsidP="00ED41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 xml:space="preserve">έχει συνταγογραφηθεί η κολύμβηση ως μέθοδος θεραπείας και </w:t>
      </w:r>
    </w:p>
    <w:p w:rsidR="00ED4124" w:rsidRDefault="00ED4124" w:rsidP="00ED41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sz w:val="28"/>
          <w:szCs w:val="28"/>
        </w:rPr>
        <w:t>προσκομίζεται πρόσφατη ιατρική βεβαίωση που επιτρέπει τη συγκεκριμένη θεραπευτική μέθοδο κατά την τρέχουσα χρονική περίοδο.</w:t>
      </w: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sz w:val="28"/>
          <w:szCs w:val="28"/>
          <w:u w:val="single"/>
        </w:rPr>
        <w:t>Επιπλέον, απαγορεύεται η  παραμονής πολιτών σε χώρους εξωτερικής άθλησης, οργανωμένες μαρίνες, πάρκα και άλση</w:t>
      </w:r>
      <w:r w:rsidRPr="00ED4124">
        <w:rPr>
          <w:rFonts w:ascii="Times New Roman" w:hAnsi="Times New Roman" w:cs="Times New Roman"/>
          <w:sz w:val="28"/>
          <w:szCs w:val="28"/>
        </w:rPr>
        <w:t>.</w:t>
      </w: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</w:p>
    <w:p w:rsid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  <w:r w:rsidRPr="0099042D">
        <w:rPr>
          <w:rFonts w:ascii="Times New Roman" w:hAnsi="Times New Roman" w:cs="Times New Roman"/>
          <w:b/>
          <w:bCs/>
          <w:sz w:val="28"/>
          <w:szCs w:val="28"/>
          <w:u w:val="single"/>
        </w:rPr>
        <w:t>Διευκρινίζονται τα εξής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042D" w:rsidRDefault="0099042D" w:rsidP="00ED4124">
      <w:pPr>
        <w:rPr>
          <w:rFonts w:ascii="Times New Roman" w:hAnsi="Times New Roman" w:cs="Times New Roman"/>
          <w:sz w:val="28"/>
          <w:szCs w:val="28"/>
        </w:rPr>
      </w:pPr>
    </w:p>
    <w:p w:rsidR="0099042D" w:rsidRDefault="00ED4124" w:rsidP="0099042D">
      <w:pPr>
        <w:rPr>
          <w:rFonts w:ascii="Times New Roman" w:hAnsi="Times New Roman" w:cs="Times New Roman"/>
          <w:sz w:val="28"/>
          <w:szCs w:val="28"/>
        </w:rPr>
      </w:pPr>
      <w:r w:rsidRPr="00ED4124">
        <w:rPr>
          <w:rFonts w:ascii="Times New Roman" w:hAnsi="Times New Roman" w:cs="Times New Roman"/>
          <w:b/>
          <w:bCs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2D">
        <w:rPr>
          <w:rFonts w:ascii="Times New Roman" w:hAnsi="Times New Roman" w:cs="Times New Roman"/>
          <w:sz w:val="28"/>
          <w:szCs w:val="28"/>
        </w:rPr>
        <w:t>Πρόκειται άμεσα να εξεταστεί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42D"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</w:rPr>
        <w:t>δυνατότητα εξαίρεσης λ</w:t>
      </w:r>
      <w:r w:rsidRPr="00ED4124">
        <w:rPr>
          <w:rFonts w:ascii="Times New Roman" w:hAnsi="Times New Roman" w:cs="Times New Roman"/>
          <w:sz w:val="28"/>
          <w:szCs w:val="28"/>
        </w:rPr>
        <w:t>ειτουργία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ED4124">
        <w:rPr>
          <w:rFonts w:ascii="Times New Roman" w:hAnsi="Times New Roman" w:cs="Times New Roman"/>
          <w:sz w:val="28"/>
          <w:szCs w:val="28"/>
        </w:rPr>
        <w:t xml:space="preserve"> των αθλητικών εγκαταστάσεων </w:t>
      </w:r>
      <w:r w:rsidRPr="00ED4124">
        <w:rPr>
          <w:rFonts w:ascii="Times New Roman" w:hAnsi="Times New Roman" w:cs="Times New Roman"/>
          <w:sz w:val="28"/>
          <w:szCs w:val="28"/>
          <w:u w:val="single"/>
        </w:rPr>
        <w:t>για προπονήσεις και αγώνες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D4124">
        <w:rPr>
          <w:rFonts w:ascii="Times New Roman" w:hAnsi="Times New Roman" w:cs="Times New Roman"/>
          <w:sz w:val="28"/>
          <w:szCs w:val="28"/>
        </w:rPr>
        <w:t xml:space="preserve"> χωρίς την παρουσία θεατών</w:t>
      </w:r>
      <w:r>
        <w:rPr>
          <w:rFonts w:ascii="Times New Roman" w:hAnsi="Times New Roman" w:cs="Times New Roman"/>
          <w:sz w:val="28"/>
          <w:szCs w:val="28"/>
        </w:rPr>
        <w:t xml:space="preserve"> και για</w:t>
      </w:r>
      <w:r w:rsidRPr="00ED4124">
        <w:rPr>
          <w:rFonts w:ascii="Times New Roman" w:hAnsi="Times New Roman" w:cs="Times New Roman"/>
          <w:sz w:val="28"/>
          <w:szCs w:val="28"/>
        </w:rPr>
        <w:t xml:space="preserve"> άλλα εγχώρια πρωταθλήματα ή</w:t>
      </w:r>
      <w:r>
        <w:rPr>
          <w:rFonts w:ascii="Times New Roman" w:hAnsi="Times New Roman" w:cs="Times New Roman"/>
          <w:sz w:val="28"/>
          <w:szCs w:val="28"/>
        </w:rPr>
        <w:t>/και</w:t>
      </w:r>
      <w:r w:rsidRPr="00ED4124">
        <w:rPr>
          <w:rFonts w:ascii="Times New Roman" w:hAnsi="Times New Roman" w:cs="Times New Roman"/>
          <w:sz w:val="28"/>
          <w:szCs w:val="28"/>
        </w:rPr>
        <w:t xml:space="preserve"> διεθνείς διοργανώσεις, των οποίων οι ομάδες </w:t>
      </w:r>
      <w:r>
        <w:rPr>
          <w:rFonts w:ascii="Times New Roman" w:hAnsi="Times New Roman" w:cs="Times New Roman"/>
          <w:sz w:val="28"/>
          <w:szCs w:val="28"/>
        </w:rPr>
        <w:t>θα καταθέσουν και θα εγκριθεί</w:t>
      </w:r>
      <w:r w:rsidRPr="00ED4124">
        <w:rPr>
          <w:rFonts w:ascii="Times New Roman" w:hAnsi="Times New Roman" w:cs="Times New Roman"/>
          <w:sz w:val="28"/>
          <w:szCs w:val="28"/>
        </w:rPr>
        <w:t xml:space="preserve"> υγειονομικό πρωτόκολλο, που περιλαμβάνει υποχρεωτικό εβδομαδιαίο προληπτικό έλεγχο των αθλητών για COVID-19 με τεστ αντιγόνου από διαπιστευμένα εργαστήρια.</w:t>
      </w:r>
    </w:p>
    <w:p w:rsidR="0099042D" w:rsidRPr="0099042D" w:rsidRDefault="0099042D" w:rsidP="0099042D">
      <w:pPr>
        <w:rPr>
          <w:rFonts w:ascii="Times New Roman" w:hAnsi="Times New Roman" w:cs="Times New Roman"/>
          <w:sz w:val="28"/>
          <w:szCs w:val="28"/>
        </w:rPr>
      </w:pPr>
    </w:p>
    <w:p w:rsidR="00ED4124" w:rsidRPr="00ED4124" w:rsidRDefault="0099042D" w:rsidP="00ED412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Β</w:t>
      </w:r>
      <w:r w:rsidR="00ED4124" w:rsidRPr="00ED41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Πρόκειται άμεσα να</w:t>
      </w:r>
      <w:r w:rsidR="00ED4124" w:rsidRPr="00ED4124">
        <w:rPr>
          <w:rFonts w:ascii="Times New Roman" w:hAnsi="Times New Roman" w:cs="Times New Roman"/>
          <w:sz w:val="28"/>
          <w:szCs w:val="28"/>
        </w:rPr>
        <w:t xml:space="preserve"> εξεταστεί η δυνατότητα </w:t>
      </w:r>
      <w:r w:rsidR="00ED4124">
        <w:rPr>
          <w:rFonts w:ascii="Times New Roman" w:hAnsi="Times New Roman" w:cs="Times New Roman"/>
          <w:sz w:val="28"/>
          <w:szCs w:val="28"/>
        </w:rPr>
        <w:t>και της</w:t>
      </w:r>
      <w:r w:rsidR="00ED4124" w:rsidRPr="00ED4124">
        <w:rPr>
          <w:rFonts w:ascii="Times New Roman" w:hAnsi="Times New Roman" w:cs="Times New Roman"/>
          <w:sz w:val="28"/>
          <w:szCs w:val="28"/>
        </w:rPr>
        <w:t xml:space="preserve"> προετοιμασίας αθλητών για Ευρωπαϊκά και Παγκόσμια Πρωταθλήματα, τα οποία πρόκειται να διεξαχθούν έως και τον Απρίλιο του 2021, με ονομαστικές καταστάσεις που θα εκδίδει η Γενική Γραμματεία Αθλητισμού, κατόπιν εισήγησης των αντιστοίχων Ομοσπονδιών τους.  </w:t>
      </w:r>
    </w:p>
    <w:p w:rsidR="00ED4124" w:rsidRPr="00ED4124" w:rsidRDefault="00ED4124" w:rsidP="00ED4124">
      <w:pPr>
        <w:rPr>
          <w:rFonts w:ascii="Times New Roman" w:hAnsi="Times New Roman" w:cs="Times New Roman"/>
          <w:sz w:val="28"/>
          <w:szCs w:val="28"/>
        </w:rPr>
      </w:pPr>
    </w:p>
    <w:sectPr w:rsidR="00ED4124" w:rsidRPr="00ED4124" w:rsidSect="009515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4F3"/>
    <w:multiLevelType w:val="hybridMultilevel"/>
    <w:tmpl w:val="35BE04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9306F"/>
    <w:multiLevelType w:val="hybridMultilevel"/>
    <w:tmpl w:val="924A8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057B"/>
    <w:multiLevelType w:val="hybridMultilevel"/>
    <w:tmpl w:val="B9C69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FB5"/>
    <w:multiLevelType w:val="hybridMultilevel"/>
    <w:tmpl w:val="ABA67B16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7E830A4"/>
    <w:multiLevelType w:val="hybridMultilevel"/>
    <w:tmpl w:val="E6EA1F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6A57"/>
    <w:multiLevelType w:val="hybridMultilevel"/>
    <w:tmpl w:val="C28AC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C190D"/>
    <w:multiLevelType w:val="hybridMultilevel"/>
    <w:tmpl w:val="879E292A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91F0A2A"/>
    <w:multiLevelType w:val="hybridMultilevel"/>
    <w:tmpl w:val="5240E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F1A12"/>
    <w:multiLevelType w:val="hybridMultilevel"/>
    <w:tmpl w:val="FC145500"/>
    <w:lvl w:ilvl="0" w:tplc="0408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>
    <w:nsid w:val="449A79B7"/>
    <w:multiLevelType w:val="hybridMultilevel"/>
    <w:tmpl w:val="50FAF62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706D2A"/>
    <w:multiLevelType w:val="hybridMultilevel"/>
    <w:tmpl w:val="747E9B08"/>
    <w:lvl w:ilvl="0" w:tplc="0408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>
    <w:nsid w:val="4F6D5EFD"/>
    <w:multiLevelType w:val="hybridMultilevel"/>
    <w:tmpl w:val="CFC2E72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1A53C2"/>
    <w:multiLevelType w:val="multilevel"/>
    <w:tmpl w:val="423EC9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color w:val="00000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>
    <w:nsid w:val="585324C7"/>
    <w:multiLevelType w:val="hybridMultilevel"/>
    <w:tmpl w:val="FC1C5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0BB3"/>
    <w:multiLevelType w:val="hybridMultilevel"/>
    <w:tmpl w:val="460210D6"/>
    <w:lvl w:ilvl="0" w:tplc="0408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39468A5"/>
    <w:multiLevelType w:val="hybridMultilevel"/>
    <w:tmpl w:val="39549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C32BD"/>
    <w:multiLevelType w:val="hybridMultilevel"/>
    <w:tmpl w:val="D3AAE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7089D"/>
    <w:multiLevelType w:val="hybridMultilevel"/>
    <w:tmpl w:val="C5E435F8"/>
    <w:lvl w:ilvl="0" w:tplc="E47884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B21C2"/>
    <w:multiLevelType w:val="hybridMultilevel"/>
    <w:tmpl w:val="7054B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E4249"/>
    <w:multiLevelType w:val="hybridMultilevel"/>
    <w:tmpl w:val="11AC384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5"/>
  </w:num>
  <w:num w:numId="9">
    <w:abstractNumId w:val="2"/>
  </w:num>
  <w:num w:numId="10">
    <w:abstractNumId w:val="6"/>
  </w:num>
  <w:num w:numId="11">
    <w:abstractNumId w:val="14"/>
  </w:num>
  <w:num w:numId="12">
    <w:abstractNumId w:val="18"/>
  </w:num>
  <w:num w:numId="13">
    <w:abstractNumId w:val="8"/>
  </w:num>
  <w:num w:numId="14">
    <w:abstractNumId w:val="9"/>
  </w:num>
  <w:num w:numId="15">
    <w:abstractNumId w:val="19"/>
  </w:num>
  <w:num w:numId="16">
    <w:abstractNumId w:val="17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1E85"/>
    <w:rsid w:val="00073873"/>
    <w:rsid w:val="000B1CF0"/>
    <w:rsid w:val="000F1F8E"/>
    <w:rsid w:val="00166434"/>
    <w:rsid w:val="001D1E85"/>
    <w:rsid w:val="00201981"/>
    <w:rsid w:val="002C6979"/>
    <w:rsid w:val="002D370B"/>
    <w:rsid w:val="002F6994"/>
    <w:rsid w:val="0032412A"/>
    <w:rsid w:val="00361EFB"/>
    <w:rsid w:val="003910EA"/>
    <w:rsid w:val="003D1E34"/>
    <w:rsid w:val="00533309"/>
    <w:rsid w:val="005B16DD"/>
    <w:rsid w:val="0064115B"/>
    <w:rsid w:val="007436DB"/>
    <w:rsid w:val="007B7C39"/>
    <w:rsid w:val="008375FA"/>
    <w:rsid w:val="008E2878"/>
    <w:rsid w:val="008E2F0D"/>
    <w:rsid w:val="008E3A89"/>
    <w:rsid w:val="008F5E27"/>
    <w:rsid w:val="00907901"/>
    <w:rsid w:val="00951588"/>
    <w:rsid w:val="0099042D"/>
    <w:rsid w:val="00991B9C"/>
    <w:rsid w:val="009F461F"/>
    <w:rsid w:val="00A12822"/>
    <w:rsid w:val="00A96AC2"/>
    <w:rsid w:val="00CB5147"/>
    <w:rsid w:val="00D0640F"/>
    <w:rsid w:val="00D07991"/>
    <w:rsid w:val="00D36ABF"/>
    <w:rsid w:val="00D42A4E"/>
    <w:rsid w:val="00DB196F"/>
    <w:rsid w:val="00E115B6"/>
    <w:rsid w:val="00EA41AC"/>
    <w:rsid w:val="00ED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40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6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4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41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jbraous12@gmail.com</dc:creator>
  <cp:lastModifiedBy>annakotsiou</cp:lastModifiedBy>
  <cp:revision>2</cp:revision>
  <dcterms:created xsi:type="dcterms:W3CDTF">2020-11-07T12:48:00Z</dcterms:created>
  <dcterms:modified xsi:type="dcterms:W3CDTF">2020-11-07T12:48:00Z</dcterms:modified>
</cp:coreProperties>
</file>